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C9E" w:rsidRDefault="00B707A7" w:rsidP="00110C9E">
      <w:pPr>
        <w:ind w:left="4956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 </w:t>
      </w:r>
      <w:r w:rsidR="00110C9E" w:rsidRPr="00F6237B">
        <w:rPr>
          <w:b/>
          <w:sz w:val="36"/>
          <w:szCs w:val="36"/>
          <w:u w:val="single"/>
        </w:rPr>
        <w:t>GÖRÜŞ VE ÖNERİLER FORMU</w:t>
      </w:r>
    </w:p>
    <w:p w:rsidR="00110C9E" w:rsidRPr="00A36E41" w:rsidRDefault="00110C9E" w:rsidP="00110C9E">
      <w:pPr>
        <w:ind w:left="5664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     </w:t>
      </w:r>
      <w:r w:rsidRPr="00110C9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  <w:u w:val="single"/>
        </w:rPr>
        <w:t>Y</w:t>
      </w:r>
      <w:r w:rsidRPr="00A36E41">
        <w:rPr>
          <w:b/>
          <w:sz w:val="36"/>
          <w:szCs w:val="36"/>
          <w:u w:val="single"/>
        </w:rPr>
        <w:t>YD</w:t>
      </w:r>
      <w:r>
        <w:rPr>
          <w:b/>
          <w:sz w:val="36"/>
          <w:szCs w:val="36"/>
          <w:u w:val="single"/>
        </w:rPr>
        <w:t xml:space="preserve"> </w:t>
      </w:r>
      <w:r w:rsidRPr="00A36E41">
        <w:rPr>
          <w:b/>
          <w:sz w:val="36"/>
          <w:szCs w:val="36"/>
          <w:u w:val="single"/>
        </w:rPr>
        <w:t>2020</w:t>
      </w:r>
      <w:r>
        <w:rPr>
          <w:b/>
          <w:sz w:val="36"/>
          <w:szCs w:val="36"/>
          <w:u w:val="single"/>
        </w:rPr>
        <w:t>-01</w:t>
      </w:r>
    </w:p>
    <w:p w:rsidR="00110C9E" w:rsidRPr="008E5126" w:rsidRDefault="00110C9E" w:rsidP="00110C9E">
      <w:pPr>
        <w:ind w:left="2832" w:firstLine="708"/>
        <w:rPr>
          <w:b/>
          <w:sz w:val="28"/>
          <w:szCs w:val="28"/>
          <w:u w:val="single"/>
        </w:rPr>
      </w:pPr>
    </w:p>
    <w:p w:rsidR="008E5126" w:rsidRPr="008E5126" w:rsidRDefault="00D02F83" w:rsidP="00D02F8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Konu Başlığı</w:t>
      </w:r>
      <w:r w:rsidR="00110C9E" w:rsidRPr="008E5126">
        <w:rPr>
          <w:b/>
          <w:sz w:val="24"/>
          <w:szCs w:val="24"/>
        </w:rPr>
        <w:t xml:space="preserve"> </w:t>
      </w:r>
      <w:r w:rsidR="00110C9E" w:rsidRPr="008E5126">
        <w:rPr>
          <w:b/>
          <w:sz w:val="24"/>
          <w:szCs w:val="24"/>
        </w:rPr>
        <w:tab/>
      </w:r>
      <w:r w:rsidR="00110C9E" w:rsidRPr="008E5126">
        <w:rPr>
          <w:b/>
          <w:sz w:val="24"/>
          <w:szCs w:val="24"/>
        </w:rPr>
        <w:tab/>
      </w:r>
      <w:r w:rsidR="00110C9E" w:rsidRPr="008E5126">
        <w:rPr>
          <w:b/>
          <w:sz w:val="24"/>
          <w:szCs w:val="24"/>
        </w:rPr>
        <w:tab/>
      </w:r>
      <w:r w:rsidR="00110C9E" w:rsidRPr="008E5126">
        <w:rPr>
          <w:b/>
          <w:sz w:val="24"/>
          <w:szCs w:val="24"/>
        </w:rPr>
        <w:tab/>
      </w:r>
      <w:r w:rsidR="00110C9E" w:rsidRPr="008E5126">
        <w:rPr>
          <w:b/>
          <w:sz w:val="24"/>
          <w:szCs w:val="24"/>
        </w:rPr>
        <w:tab/>
      </w:r>
      <w:r w:rsidR="00110C9E">
        <w:rPr>
          <w:b/>
          <w:sz w:val="24"/>
          <w:szCs w:val="24"/>
        </w:rPr>
        <w:tab/>
      </w:r>
      <w:r w:rsidR="00110C9E">
        <w:rPr>
          <w:b/>
          <w:sz w:val="24"/>
          <w:szCs w:val="24"/>
        </w:rPr>
        <w:tab/>
        <w:t xml:space="preserve">     </w:t>
      </w:r>
      <w:r>
        <w:rPr>
          <w:b/>
          <w:sz w:val="24"/>
          <w:szCs w:val="24"/>
        </w:rPr>
        <w:tab/>
      </w:r>
      <w:r w:rsidR="00110C9E" w:rsidRPr="008E5126">
        <w:rPr>
          <w:b/>
          <w:sz w:val="24"/>
          <w:szCs w:val="24"/>
        </w:rPr>
        <w:t>GÖRÜŞ VE ÖNERİLER</w:t>
      </w:r>
    </w:p>
    <w:tbl>
      <w:tblPr>
        <w:tblStyle w:val="TabloKlavuzu"/>
        <w:tblW w:w="13891" w:type="dxa"/>
        <w:tblInd w:w="-572" w:type="dxa"/>
        <w:tblLook w:val="04A0" w:firstRow="1" w:lastRow="0" w:firstColumn="1" w:lastColumn="0" w:noHBand="0" w:noVBand="1"/>
      </w:tblPr>
      <w:tblGrid>
        <w:gridCol w:w="14792"/>
      </w:tblGrid>
      <w:tr w:rsidR="003A6486" w:rsidTr="00E8786A">
        <w:trPr>
          <w:trHeight w:val="4677"/>
        </w:trPr>
        <w:tc>
          <w:tcPr>
            <w:tcW w:w="13891" w:type="dxa"/>
          </w:tcPr>
          <w:tbl>
            <w:tblPr>
              <w:tblW w:w="1502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6"/>
              <w:gridCol w:w="11388"/>
              <w:gridCol w:w="142"/>
            </w:tblGrid>
            <w:tr w:rsidR="003A6486" w:rsidRPr="00A367AE" w:rsidTr="00E8786A">
              <w:trPr>
                <w:trHeight w:val="2115"/>
              </w:trPr>
              <w:tc>
                <w:tcPr>
                  <w:tcW w:w="3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0457D" w:rsidRDefault="00F0457D" w:rsidP="003A6486">
                  <w:pPr>
                    <w:jc w:val="center"/>
                    <w:rPr>
                      <w:rFonts w:cstheme="minorHAnsi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F0457D" w:rsidRDefault="002C4341" w:rsidP="003A6486">
                  <w:pPr>
                    <w:jc w:val="center"/>
                    <w:rPr>
                      <w:rFonts w:cstheme="minorHAnsi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36"/>
                      <w:szCs w:val="36"/>
                      <w:lang w:eastAsia="tr-TR"/>
                    </w:rPr>
                    <w:drawing>
                      <wp:inline distT="0" distB="0" distL="0" distR="0" wp14:anchorId="055854EA" wp14:editId="28BE5945">
                        <wp:extent cx="1371600" cy="1319249"/>
                        <wp:effectExtent l="0" t="0" r="0" b="0"/>
                        <wp:docPr id="3" name="Resim 3" descr="C:\Users\altayy\AppData\Local\Microsoft\Windows\INetCache\Content.Word\YYSD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C:\Users\altayy\AppData\Local\Microsoft\Windows\INetCache\Content.Word\YYSD 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3360" cy="13209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0457D" w:rsidRDefault="00F0457D" w:rsidP="003A6486">
                  <w:pPr>
                    <w:jc w:val="center"/>
                    <w:rPr>
                      <w:rFonts w:cstheme="minorHAnsi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3A6486" w:rsidRPr="00F0457D" w:rsidRDefault="00DE5F60" w:rsidP="003A6486">
                  <w:pPr>
                    <w:jc w:val="center"/>
                    <w:rPr>
                      <w:rFonts w:cstheme="minorHAnsi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bCs/>
                      <w:color w:val="000000"/>
                      <w:sz w:val="28"/>
                      <w:szCs w:val="28"/>
                    </w:rPr>
                    <w:t>Mevzuat Gelişmelerinde Derneğimize B</w:t>
                  </w:r>
                  <w:r w:rsidR="006C43FB" w:rsidRPr="00F0457D">
                    <w:rPr>
                      <w:rFonts w:cstheme="minorHAnsi"/>
                      <w:b/>
                      <w:bCs/>
                      <w:color w:val="000000"/>
                      <w:sz w:val="28"/>
                      <w:szCs w:val="28"/>
                    </w:rPr>
                    <w:t>ilgilendi</w:t>
                  </w:r>
                  <w:r>
                    <w:rPr>
                      <w:rFonts w:cstheme="minorHAnsi"/>
                      <w:b/>
                      <w:bCs/>
                      <w:color w:val="000000"/>
                      <w:sz w:val="28"/>
                      <w:szCs w:val="28"/>
                    </w:rPr>
                    <w:t>rme Y</w:t>
                  </w:r>
                  <w:r w:rsidR="006C43FB" w:rsidRPr="00F0457D">
                    <w:rPr>
                      <w:rFonts w:cstheme="minorHAnsi"/>
                      <w:b/>
                      <w:bCs/>
                      <w:color w:val="000000"/>
                      <w:sz w:val="28"/>
                      <w:szCs w:val="28"/>
                    </w:rPr>
                    <w:t>apılmaması</w:t>
                  </w:r>
                </w:p>
                <w:p w:rsidR="006C43FB" w:rsidRDefault="006C43FB" w:rsidP="003A6486">
                  <w:pPr>
                    <w:jc w:val="center"/>
                    <w:rPr>
                      <w:rFonts w:cstheme="minorHAnsi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F0457D" w:rsidRDefault="00F0457D" w:rsidP="003A6486">
                  <w:pPr>
                    <w:jc w:val="center"/>
                    <w:rPr>
                      <w:rFonts w:cstheme="minorHAnsi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F0457D" w:rsidRDefault="00F0457D" w:rsidP="003A6486">
                  <w:pPr>
                    <w:jc w:val="center"/>
                    <w:rPr>
                      <w:rFonts w:cstheme="minorHAnsi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F0457D" w:rsidRDefault="00F0457D" w:rsidP="003A6486">
                  <w:pPr>
                    <w:jc w:val="center"/>
                    <w:rPr>
                      <w:rFonts w:cstheme="minorHAnsi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F0457D" w:rsidRDefault="00F0457D" w:rsidP="003A6486">
                  <w:pPr>
                    <w:jc w:val="center"/>
                    <w:rPr>
                      <w:rFonts w:cstheme="minorHAnsi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110C9E" w:rsidRDefault="00110C9E" w:rsidP="003A6486">
                  <w:pPr>
                    <w:jc w:val="center"/>
                    <w:rPr>
                      <w:rFonts w:cstheme="minorHAnsi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36"/>
                      <w:szCs w:val="36"/>
                      <w:lang w:eastAsia="tr-TR"/>
                    </w:rPr>
                    <w:drawing>
                      <wp:inline distT="0" distB="0" distL="0" distR="0" wp14:anchorId="740D8C21" wp14:editId="46C5BC82">
                        <wp:extent cx="1371600" cy="1319249"/>
                        <wp:effectExtent l="0" t="0" r="0" b="0"/>
                        <wp:docPr id="14" name="Resim 14" descr="C:\Users\altayy\AppData\Local\Microsoft\Windows\INetCache\Content.Word\YYSD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C:\Users\altayy\AppData\Local\Microsoft\Windows\INetCache\Content.Word\YYSD 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3360" cy="13209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10C9E" w:rsidRDefault="00110C9E" w:rsidP="003A6486">
                  <w:pPr>
                    <w:jc w:val="center"/>
                    <w:rPr>
                      <w:rFonts w:cstheme="minorHAnsi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F0457D" w:rsidRPr="00F0457D" w:rsidRDefault="00DD496E" w:rsidP="00F0457D">
                  <w:pPr>
                    <w:jc w:val="center"/>
                    <w:rPr>
                      <w:rFonts w:cstheme="minorHAnsi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bCs/>
                      <w:color w:val="000000"/>
                      <w:sz w:val="28"/>
                      <w:szCs w:val="28"/>
                    </w:rPr>
                    <w:t xml:space="preserve">Serbest Dolaşıma Giriş Rejimi </w:t>
                  </w:r>
                </w:p>
                <w:p w:rsidR="00F0457D" w:rsidRPr="006C43FB" w:rsidRDefault="00F0457D" w:rsidP="003A6486">
                  <w:pPr>
                    <w:jc w:val="center"/>
                    <w:rPr>
                      <w:rFonts w:cstheme="minorHAnsi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5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F5B88" w:rsidRDefault="006C43FB" w:rsidP="005E1C68">
                  <w:pPr>
                    <w:pStyle w:val="ListeParagraf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</w:pPr>
                  <w:r w:rsidRPr="00DD496E"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  <w:lastRenderedPageBreak/>
                    <w:t>10.03.2020 tarihli Gümrükler Genel Müdürlüğü tarafınd</w:t>
                  </w:r>
                  <w:r w:rsidR="00F2418E"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  <w:t>an yayımlanan tasarruflu yazı</w:t>
                  </w:r>
                  <w:r w:rsidR="00F6237B" w:rsidRPr="00DD496E"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  <w:t xml:space="preserve">da </w:t>
                  </w:r>
                  <w:r w:rsidR="00641260"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  <w:t xml:space="preserve">üyelerimiz ile ilgili </w:t>
                  </w:r>
                  <w:r w:rsidR="002E5031"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  <w:t>doğrudan bir bilgilendirme olmasına rağmen, dağıtım</w:t>
                  </w:r>
                  <w:r w:rsidRPr="00DD496E"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  <w:t xml:space="preserve"> yerleri içerisinde Derneğimizin isminin yer almadığı </w:t>
                  </w:r>
                  <w:r w:rsidR="00F0457D" w:rsidRPr="00DD496E"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  <w:t xml:space="preserve">gözlemlenmiştir. </w:t>
                  </w:r>
                  <w:r w:rsidR="003F5B88"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  <w:t>Genel Müdürlüğünüzce yayımlanan tüm m</w:t>
                  </w:r>
                  <w:r w:rsidR="00F6237B" w:rsidRPr="00DD496E"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  <w:t>evzuat duyuruları için d</w:t>
                  </w:r>
                  <w:r w:rsidR="00F0457D" w:rsidRPr="00DD496E"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  <w:t xml:space="preserve">ağıtım yerleri içerisine </w:t>
                  </w:r>
                  <w:r w:rsidRPr="00DD496E"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  <w:t>Yetkilendirilmiş Yükümlü (AE</w:t>
                  </w:r>
                  <w:r w:rsidR="00F0457D" w:rsidRPr="00DD496E"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  <w:t>O) D</w:t>
                  </w:r>
                  <w:r w:rsidRPr="00DD496E"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  <w:t xml:space="preserve">erneğinin </w:t>
                  </w:r>
                </w:p>
                <w:p w:rsidR="006C43FB" w:rsidRPr="009A405B" w:rsidRDefault="004861B9" w:rsidP="00C71A87">
                  <w:pPr>
                    <w:spacing w:after="0" w:line="240" w:lineRule="auto"/>
                    <w:ind w:left="720"/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</w:pPr>
                  <w:proofErr w:type="gramStart"/>
                  <w:r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  <w:t>e</w:t>
                  </w:r>
                  <w:r w:rsidR="009A405B" w:rsidRPr="009A405B"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  <w:t>klenmesi</w:t>
                  </w:r>
                  <w:proofErr w:type="gramEnd"/>
                  <w:r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  <w:t xml:space="preserve"> hususunu</w:t>
                  </w:r>
                  <w:r w:rsidR="00C71A87"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  <w:t xml:space="preserve"> bilgilerinize arz ederiz.</w:t>
                  </w:r>
                </w:p>
                <w:p w:rsidR="006C43FB" w:rsidRPr="006C43FB" w:rsidRDefault="006C43FB" w:rsidP="00C11957">
                  <w:pPr>
                    <w:spacing w:after="0" w:line="240" w:lineRule="auto"/>
                    <w:rPr>
                      <w:rFonts w:cstheme="minorHAnsi"/>
                      <w:noProof/>
                      <w:sz w:val="24"/>
                      <w:szCs w:val="24"/>
                      <w:lang w:eastAsia="tr-TR"/>
                    </w:rPr>
                  </w:pPr>
                </w:p>
                <w:p w:rsidR="006C43FB" w:rsidRPr="006C43FB" w:rsidRDefault="006C43FB" w:rsidP="00C11957">
                  <w:pPr>
                    <w:spacing w:after="0" w:line="240" w:lineRule="auto"/>
                    <w:rPr>
                      <w:rFonts w:cstheme="minorHAnsi"/>
                      <w:color w:val="212529"/>
                      <w:sz w:val="24"/>
                      <w:szCs w:val="24"/>
                      <w:shd w:val="clear" w:color="auto" w:fill="FFFFFF"/>
                    </w:rPr>
                  </w:pPr>
                </w:p>
                <w:p w:rsidR="00C11957" w:rsidRPr="006C43FB" w:rsidRDefault="006C43FB" w:rsidP="00C11957">
                  <w:pPr>
                    <w:spacing w:after="0" w:line="240" w:lineRule="auto"/>
                    <w:rPr>
                      <w:rFonts w:cstheme="minorHAnsi"/>
                      <w:color w:val="212529"/>
                      <w:sz w:val="24"/>
                      <w:szCs w:val="24"/>
                      <w:shd w:val="clear" w:color="auto" w:fill="FFFFFF"/>
                    </w:rPr>
                  </w:pPr>
                  <w:r w:rsidRPr="006C43FB">
                    <w:rPr>
                      <w:rFonts w:cstheme="minorHAnsi"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 wp14:anchorId="5146777F" wp14:editId="17632A9E">
                        <wp:extent cx="2333625" cy="1285875"/>
                        <wp:effectExtent l="0" t="0" r="9525" b="9525"/>
                        <wp:docPr id="2" name="Resi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33625" cy="1285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43FB">
                    <w:rPr>
                      <w:rFonts w:cstheme="minorHAnsi"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 wp14:anchorId="52669CF4" wp14:editId="45A02743">
                        <wp:extent cx="4267200" cy="2667000"/>
                        <wp:effectExtent l="0" t="0" r="0" b="0"/>
                        <wp:docPr id="1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67200" cy="2667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11957" w:rsidRPr="006C43FB" w:rsidRDefault="00C11957" w:rsidP="00C11957">
                  <w:pPr>
                    <w:spacing w:after="0" w:line="240" w:lineRule="auto"/>
                    <w:rPr>
                      <w:rFonts w:cstheme="minorHAnsi"/>
                      <w:color w:val="212529"/>
                      <w:sz w:val="24"/>
                      <w:szCs w:val="24"/>
                      <w:shd w:val="clear" w:color="auto" w:fill="FFFFFF"/>
                    </w:rPr>
                  </w:pPr>
                </w:p>
                <w:p w:rsidR="00DE5F60" w:rsidRDefault="00DE5F60" w:rsidP="00DE5F60">
                  <w:pPr>
                    <w:spacing w:after="0" w:line="240" w:lineRule="auto"/>
                    <w:ind w:left="720"/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</w:pPr>
                </w:p>
                <w:p w:rsidR="00F0457D" w:rsidRDefault="00F6237B" w:rsidP="005E1C6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  <w:t>Bazı gümrük idareleri nihai kullanım kapsamı gerçekleştirilen</w:t>
                  </w:r>
                  <w:r w:rsidR="00F0457D" w:rsidRPr="006C43FB"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  <w:t xml:space="preserve"> her</w:t>
                  </w:r>
                  <w:r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  <w:t xml:space="preserve"> bir ithalat işlemi için</w:t>
                  </w:r>
                  <w:r w:rsidR="00F0457D" w:rsidRPr="006C43FB"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  <w:t xml:space="preserve"> girişte ve çıkışta ayniyat </w:t>
                  </w:r>
                  <w:r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  <w:t xml:space="preserve">kontrolü KOD4 uygulaması talep etmektedir. </w:t>
                  </w:r>
                  <w:r w:rsidRPr="006C43FB"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  <w:t>Zaman</w:t>
                  </w:r>
                  <w:r w:rsidR="00F0457D" w:rsidRPr="006C43FB"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  <w:t xml:space="preserve"> ve maliy</w:t>
                  </w:r>
                  <w:r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  <w:t>et açısından zorluklar yaşanmam</w:t>
                  </w:r>
                  <w:r w:rsidR="00A77D30"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  <w:t>ası için ayniyat şartının</w:t>
                  </w:r>
                  <w:r w:rsidR="00766D2C"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  <w:t xml:space="preserve"> kaldırı</w:t>
                  </w:r>
                  <w:r w:rsidR="00C71A87"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  <w:t xml:space="preserve">lması </w:t>
                  </w:r>
                  <w:r w:rsidR="00496649"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  <w:t>hususunu bilgilerinize arz ederiz.</w:t>
                  </w:r>
                </w:p>
                <w:p w:rsidR="002661E6" w:rsidRPr="006C43FB" w:rsidRDefault="002661E6" w:rsidP="002661E6">
                  <w:pPr>
                    <w:spacing w:after="0" w:line="240" w:lineRule="auto"/>
                    <w:ind w:left="720"/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</w:pPr>
                </w:p>
                <w:p w:rsidR="00766D2C" w:rsidRDefault="00F0457D" w:rsidP="005E1C6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</w:pPr>
                  <w:r w:rsidRPr="006C43FB"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  <w:t>Tarım ve Orman Bakanlığının Kontrolüne Tabi Ürünlerin İthalat Denetimi Tebliği uyarınca yapılmakta olan kontrollerin ürün güvenliği açısından ko</w:t>
                  </w:r>
                  <w:r w:rsidR="00766D2C"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  <w:t xml:space="preserve">ntrol sıklıklarının düşürülmesi </w:t>
                  </w:r>
                </w:p>
                <w:p w:rsidR="00F0457D" w:rsidRDefault="00A77D30" w:rsidP="00A77D30">
                  <w:pPr>
                    <w:spacing w:after="0" w:line="240" w:lineRule="auto"/>
                    <w:ind w:left="360"/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  <w:t xml:space="preserve">      </w:t>
                  </w:r>
                  <w:proofErr w:type="gramStart"/>
                  <w:r w:rsidR="00496649"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  <w:t>hususunu</w:t>
                  </w:r>
                  <w:proofErr w:type="gramEnd"/>
                  <w:r w:rsidR="00496649"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  <w:t xml:space="preserve"> bilgilerinize arz ederiz.</w:t>
                  </w:r>
                </w:p>
                <w:p w:rsidR="002661E6" w:rsidRDefault="002661E6" w:rsidP="005E1C68">
                  <w:pPr>
                    <w:spacing w:after="0" w:line="240" w:lineRule="auto"/>
                    <w:ind w:left="720"/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</w:pPr>
                </w:p>
                <w:p w:rsidR="00F6237B" w:rsidRPr="00A77D30" w:rsidRDefault="00A77D30" w:rsidP="00A77D30">
                  <w:pPr>
                    <w:pStyle w:val="ListeParagraf"/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</w:pPr>
                  <w:r w:rsidRPr="00A77D30"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  <w:t>Eşya ile daha az teması sağlayacak olan; aynı</w:t>
                  </w:r>
                  <w:r w:rsidR="00F6237B" w:rsidRPr="00A77D30"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="00DD496E" w:rsidRPr="00A77D30"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  <w:t>gönderici, alıcı, GTİP, menşei</w:t>
                  </w:r>
                  <w:r w:rsidR="00F6237B" w:rsidRPr="00A77D30"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  <w:t xml:space="preserve"> ve aynı eşya </w:t>
                  </w:r>
                  <w:r w:rsidR="00DD496E" w:rsidRPr="00A77D30"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  <w:t>için; TSE</w:t>
                  </w:r>
                  <w:r w:rsidR="00F6237B" w:rsidRPr="00A77D30"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  <w:t xml:space="preserve"> ve </w:t>
                  </w:r>
                  <w:proofErr w:type="spellStart"/>
                  <w:r w:rsidR="00F6237B" w:rsidRPr="00A77D30"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  <w:t>Tareks</w:t>
                  </w:r>
                  <w:proofErr w:type="spellEnd"/>
                  <w:r w:rsidR="00F6237B" w:rsidRPr="00A77D30"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  <w:t xml:space="preserve"> uygulamalarında bir yıl geçerli olacak olan Global </w:t>
                  </w:r>
                  <w:r w:rsidR="00DD496E" w:rsidRPr="00A77D30"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  <w:t>TSE</w:t>
                  </w:r>
                  <w:r w:rsidR="00F6237B" w:rsidRPr="00A77D30"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  <w:t xml:space="preserve"> ve </w:t>
                  </w:r>
                  <w:proofErr w:type="spellStart"/>
                  <w:r w:rsidR="00F6237B" w:rsidRPr="00A77D30"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  <w:t>Tareks</w:t>
                  </w:r>
                  <w:proofErr w:type="spellEnd"/>
                  <w:r w:rsidR="00F6237B" w:rsidRPr="00A77D30"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  <w:t xml:space="preserve"> u</w:t>
                  </w:r>
                  <w:r w:rsidR="00766D2C" w:rsidRPr="00A77D30"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  <w:t>ygulamasının gerçekleştiri</w:t>
                  </w:r>
                  <w:r w:rsidR="004861B9" w:rsidRPr="00A77D30"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  <w:t>lmesi hususun</w:t>
                  </w:r>
                  <w:r w:rsidR="004861B9" w:rsidRPr="00A77D30"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  <w:t>u bilgilerinize arz ederiz.</w:t>
                  </w:r>
                </w:p>
                <w:p w:rsidR="00766D2C" w:rsidRPr="006C43FB" w:rsidRDefault="00766D2C" w:rsidP="00766D2C">
                  <w:pPr>
                    <w:spacing w:after="0" w:line="240" w:lineRule="auto"/>
                    <w:ind w:left="720"/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</w:pPr>
                </w:p>
                <w:p w:rsidR="00C11957" w:rsidRPr="006C43FB" w:rsidRDefault="00C11957" w:rsidP="00C11957">
                  <w:pPr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A6486" w:rsidRPr="00A367AE" w:rsidTr="00E8786A">
              <w:trPr>
                <w:gridAfter w:val="1"/>
                <w:wAfter w:w="142" w:type="dxa"/>
                <w:trHeight w:val="900"/>
              </w:trPr>
              <w:tc>
                <w:tcPr>
                  <w:tcW w:w="3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10C9E" w:rsidRDefault="00110C9E" w:rsidP="003A6486">
                  <w:pPr>
                    <w:jc w:val="center"/>
                    <w:rPr>
                      <w:rFonts w:cstheme="minorHAnsi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noProof/>
                      <w:sz w:val="36"/>
                      <w:szCs w:val="36"/>
                      <w:lang w:eastAsia="tr-TR"/>
                    </w:rPr>
                    <w:lastRenderedPageBreak/>
                    <w:drawing>
                      <wp:inline distT="0" distB="0" distL="0" distR="0" wp14:anchorId="2E7FF956" wp14:editId="7E8D11A2">
                        <wp:extent cx="1371600" cy="1319249"/>
                        <wp:effectExtent l="0" t="0" r="0" b="0"/>
                        <wp:docPr id="8" name="Resim 8" descr="C:\Users\altayy\AppData\Local\Microsoft\Windows\INetCache\Content.Word\YYSD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C:\Users\altayy\AppData\Local\Microsoft\Windows\INetCache\Content.Word\YYSD 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3360" cy="13209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D496E" w:rsidRDefault="00DD496E" w:rsidP="003A6486">
                  <w:pPr>
                    <w:jc w:val="center"/>
                    <w:rPr>
                      <w:rFonts w:cstheme="minorHAnsi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bCs/>
                      <w:color w:val="000000"/>
                      <w:sz w:val="28"/>
                      <w:szCs w:val="28"/>
                    </w:rPr>
                    <w:t xml:space="preserve">Transit Rejimi </w:t>
                  </w:r>
                </w:p>
                <w:p w:rsidR="003A6486" w:rsidRPr="00A367AE" w:rsidRDefault="003A6486" w:rsidP="003A6486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71A87" w:rsidRDefault="00110C9E" w:rsidP="00C71A87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  <w:t>Transit işlemlerde araç</w:t>
                  </w:r>
                  <w:r w:rsidRPr="006C43FB"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  <w:t>larının özet beyandan kaynaklı kırmızı hatta işlem görmeleri ve araçlara takılması istenen ATS cihazlarının temininin uzun sürmesi neden</w:t>
                  </w:r>
                  <w:r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  <w:t>iyle zaman kaybı yaşandığı gibi basitleştirme uy</w:t>
                  </w:r>
                  <w:r w:rsidR="00C71A87"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  <w:t>gulam</w:t>
                  </w:r>
                  <w:r w:rsidR="00A77D30"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  <w:t xml:space="preserve">aları getirilmesi </w:t>
                  </w:r>
                  <w:r w:rsidR="00496649"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  <w:t>hususunu bilgilerinize arz ederiz.</w:t>
                  </w:r>
                </w:p>
                <w:p w:rsidR="00110C9E" w:rsidRPr="006C43FB" w:rsidRDefault="00110C9E" w:rsidP="00C71A87">
                  <w:pPr>
                    <w:spacing w:after="0" w:line="240" w:lineRule="auto"/>
                    <w:ind w:left="720"/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</w:pPr>
                </w:p>
                <w:p w:rsidR="00DD496E" w:rsidRDefault="00DD496E" w:rsidP="00DD496E">
                  <w:pPr>
                    <w:spacing w:after="0" w:line="240" w:lineRule="auto"/>
                    <w:ind w:left="720"/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</w:pPr>
                </w:p>
                <w:p w:rsidR="003A6486" w:rsidRPr="00A367AE" w:rsidRDefault="003A6486" w:rsidP="00110C9E">
                  <w:pPr>
                    <w:spacing w:after="0" w:line="240" w:lineRule="auto"/>
                    <w:ind w:left="720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3A6486" w:rsidRPr="00A367AE" w:rsidTr="00E8786A">
              <w:trPr>
                <w:gridAfter w:val="1"/>
                <w:wAfter w:w="142" w:type="dxa"/>
                <w:trHeight w:val="600"/>
              </w:trPr>
              <w:tc>
                <w:tcPr>
                  <w:tcW w:w="3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11962" w:rsidRDefault="00110C9E" w:rsidP="00DD496E">
                  <w:pPr>
                    <w:jc w:val="center"/>
                    <w:rPr>
                      <w:rFonts w:cstheme="minorHAnsi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noProof/>
                      <w:sz w:val="36"/>
                      <w:szCs w:val="36"/>
                      <w:lang w:eastAsia="tr-TR"/>
                    </w:rPr>
                    <w:lastRenderedPageBreak/>
                    <w:drawing>
                      <wp:inline distT="0" distB="0" distL="0" distR="0" wp14:anchorId="63F366D3" wp14:editId="0BBCA2F8">
                        <wp:extent cx="1371600" cy="1319249"/>
                        <wp:effectExtent l="0" t="0" r="0" b="0"/>
                        <wp:docPr id="10" name="Resim 10" descr="C:\Users\altayy\AppData\Local\Microsoft\Windows\INetCache\Content.Word\YYSD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C:\Users\altayy\AppData\Local\Microsoft\Windows\INetCache\Content.Word\YYSD 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3360" cy="13209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11962" w:rsidRDefault="00C11962" w:rsidP="00DD496E">
                  <w:pPr>
                    <w:jc w:val="center"/>
                    <w:rPr>
                      <w:rFonts w:cstheme="minorHAnsi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bCs/>
                      <w:color w:val="000000"/>
                      <w:sz w:val="28"/>
                      <w:szCs w:val="28"/>
                    </w:rPr>
                    <w:t>EK-2 Soru Formu</w:t>
                  </w:r>
                </w:p>
                <w:p w:rsidR="003A6486" w:rsidRPr="00A367AE" w:rsidRDefault="003A6486" w:rsidP="00DD496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A6486" w:rsidRPr="00766D2C" w:rsidRDefault="00977365" w:rsidP="00C11962">
                  <w:pPr>
                    <w:pStyle w:val="ListeParagraf"/>
                    <w:numPr>
                      <w:ilvl w:val="0"/>
                      <w:numId w:val="10"/>
                    </w:numPr>
                    <w:rPr>
                      <w:rFonts w:ascii="Calibri" w:hAnsi="Calibri" w:cs="Calibri"/>
                      <w:color w:val="000000"/>
                    </w:rPr>
                  </w:pPr>
                  <w:r w:rsidRPr="00C11962"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  <w:t>İhracat işlemleri için kâğıtsız</w:t>
                  </w:r>
                  <w:r w:rsidR="00DD496E" w:rsidRPr="00C11962"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  <w:t xml:space="preserve"> beyannameden sonra hızlanan dijital arşiv ile birlikte " FİZİKİ ARŞİV " in tutulmamasıyla ilgili </w:t>
                  </w:r>
                  <w:r w:rsidR="00766D2C"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  <w:t>EK-2’de ayrıma gidi</w:t>
                  </w:r>
                  <w:r w:rsidR="00496649"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  <w:t xml:space="preserve">lmesi </w:t>
                  </w:r>
                  <w:r w:rsidR="00496649"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  <w:t>hususunu bilgilerinize arz ederiz.</w:t>
                  </w:r>
                </w:p>
                <w:p w:rsidR="00C71A87" w:rsidRPr="00C71A87" w:rsidRDefault="00766D2C" w:rsidP="00C71A87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</w:pPr>
                  <w:r w:rsidRPr="00C71A87"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  <w:t>Ek2 soru formunda ihracat yapmamakta seçeneği olan sorular; 2.4.3 - 2.4.5 - 2.</w:t>
                  </w:r>
                  <w:r w:rsidR="003D7C46" w:rsidRPr="00C71A87"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C71A87"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  <w:t xml:space="preserve">5 </w:t>
                  </w:r>
                  <w:r w:rsidR="003D7C46" w:rsidRPr="00C71A87"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  <w:t>–</w:t>
                  </w:r>
                  <w:r w:rsidRPr="00C71A87"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  <w:t xml:space="preserve"> 3.</w:t>
                  </w:r>
                  <w:r w:rsidR="003D7C46" w:rsidRPr="00C71A87"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C71A87"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  <w:t>3 - 3.</w:t>
                  </w:r>
                  <w:r w:rsidR="003D7C46" w:rsidRPr="00C71A87"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C71A87"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  <w:t xml:space="preserve">4 - 10.3.1 şeklindedir. Ayrıca; 10.1.1 taşıtlara eşya yüklemesi ve 10.2.1- 10.2.3 mühür kontrollerine ilişkindir. </w:t>
                  </w:r>
                  <w:r w:rsidR="00E8786A" w:rsidRPr="00C71A87"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  <w:t>H</w:t>
                  </w:r>
                  <w:r w:rsidRPr="00C71A87"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  <w:t xml:space="preserve">ali hazırda ihracat </w:t>
                  </w:r>
                  <w:r w:rsidR="00E8786A" w:rsidRPr="00C71A87"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  <w:t>yapmayan firmaların</w:t>
                  </w:r>
                  <w:r w:rsidRPr="00C71A87"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  <w:t xml:space="preserve"> ileride ihracat ya</w:t>
                  </w:r>
                  <w:r w:rsidR="00E8786A" w:rsidRPr="00C71A87"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  <w:t>pmayacağı anlamına gelmediğinden ihracat</w:t>
                  </w:r>
                  <w:r w:rsidRPr="00C71A87"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  <w:t xml:space="preserve"> olması durumunda nasıl uygulanacağının seçe</w:t>
                  </w:r>
                  <w:r w:rsidR="00A77D30"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  <w:t xml:space="preserve">nekli hale getirilmesi </w:t>
                  </w:r>
                  <w:r w:rsidR="00496649"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  <w:t>hususunu bilgilerinize arz ederiz.</w:t>
                  </w:r>
                </w:p>
                <w:p w:rsidR="00766D2C" w:rsidRPr="00C71A87" w:rsidRDefault="00766D2C" w:rsidP="00C71A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3A6486" w:rsidRPr="00A367AE" w:rsidTr="00E8786A">
              <w:trPr>
                <w:gridAfter w:val="1"/>
                <w:wAfter w:w="142" w:type="dxa"/>
                <w:trHeight w:val="600"/>
              </w:trPr>
              <w:tc>
                <w:tcPr>
                  <w:tcW w:w="3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6486" w:rsidRPr="00C31DDF" w:rsidRDefault="00110C9E" w:rsidP="003A6486">
                  <w:pPr>
                    <w:jc w:val="center"/>
                    <w:rPr>
                      <w:rFonts w:cstheme="minorHAnsi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noProof/>
                      <w:sz w:val="36"/>
                      <w:szCs w:val="36"/>
                      <w:lang w:eastAsia="tr-TR"/>
                    </w:rPr>
                    <w:drawing>
                      <wp:inline distT="0" distB="0" distL="0" distR="0" wp14:anchorId="00CF4D39" wp14:editId="2BD22726">
                        <wp:extent cx="1371600" cy="1319249"/>
                        <wp:effectExtent l="0" t="0" r="0" b="0"/>
                        <wp:docPr id="11" name="Resim 11" descr="C:\Users\altayy\AppData\Local\Microsoft\Windows\INetCache\Content.Word\YYSD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C:\Users\altayy\AppData\Local\Microsoft\Windows\INetCache\Content.Word\YYSD 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3360" cy="13209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11962" w:rsidRPr="00C31DDF" w:rsidRDefault="00C11962" w:rsidP="003A6486">
                  <w:pPr>
                    <w:jc w:val="center"/>
                    <w:rPr>
                      <w:rFonts w:cstheme="minorHAns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494280" w:rsidRPr="00C31DDF" w:rsidRDefault="00C31DDF" w:rsidP="003A6486">
                  <w:pPr>
                    <w:jc w:val="center"/>
                    <w:rPr>
                      <w:rFonts w:cstheme="minorHAns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C31DDF">
                    <w:rPr>
                      <w:rFonts w:cstheme="minorHAnsi"/>
                      <w:b/>
                      <w:bCs/>
                      <w:color w:val="000000"/>
                      <w:sz w:val="28"/>
                      <w:szCs w:val="28"/>
                    </w:rPr>
                    <w:t>Gümrük İşlemlerinin Kolaylaştırılması Yönetmeliği</w:t>
                  </w:r>
                </w:p>
                <w:p w:rsidR="00494280" w:rsidRDefault="00494280" w:rsidP="003A6486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  <w:p w:rsidR="00C11962" w:rsidRPr="00A367AE" w:rsidRDefault="00C11962" w:rsidP="003A6486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D1777" w:rsidRPr="005D1777" w:rsidRDefault="005D1777" w:rsidP="005D1777">
                  <w:pPr>
                    <w:pStyle w:val="3-NormalYaz"/>
                    <w:tabs>
                      <w:tab w:val="clear" w:pos="566"/>
                    </w:tabs>
                    <w:spacing w:before="120"/>
                    <w:ind w:left="720"/>
                    <w:jc w:val="left"/>
                    <w:rPr>
                      <w:rFonts w:hAnsi="Times New Roman"/>
                      <w:b/>
                      <w:sz w:val="22"/>
                      <w:szCs w:val="22"/>
                    </w:rPr>
                  </w:pPr>
                </w:p>
                <w:p w:rsidR="00C31DDF" w:rsidRPr="00E20D16" w:rsidRDefault="00C31DDF" w:rsidP="00E20D16">
                  <w:pPr>
                    <w:pStyle w:val="AralkYok"/>
                    <w:numPr>
                      <w:ilvl w:val="0"/>
                      <w:numId w:val="20"/>
                    </w:numPr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</w:pPr>
                  <w:r w:rsidRPr="00E20D16"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  <w:t>Yetkilendirilmiş Yükümlü S</w:t>
                  </w:r>
                  <w:r w:rsidR="004861B9"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  <w:t>ertifikası başvuru</w:t>
                  </w:r>
                  <w:r w:rsidR="00C71A87" w:rsidRPr="00E20D16"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  <w:t xml:space="preserve"> ve ö</w:t>
                  </w:r>
                  <w:r w:rsidRPr="00E20D16"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  <w:t xml:space="preserve">n </w:t>
                  </w:r>
                  <w:r w:rsidR="00C71A87" w:rsidRPr="00E20D16"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  <w:t>i</w:t>
                  </w:r>
                  <w:r w:rsidRPr="00E20D16"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  <w:t xml:space="preserve">zleme de takip edilecek güvenilirlik </w:t>
                  </w:r>
                </w:p>
                <w:p w:rsidR="00C31DDF" w:rsidRPr="00E20D16" w:rsidRDefault="00C71A87" w:rsidP="00E20D16">
                  <w:pPr>
                    <w:pStyle w:val="AralkYok"/>
                    <w:ind w:left="720"/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</w:pPr>
                  <w:proofErr w:type="gramStart"/>
                  <w:r w:rsidRPr="00E20D16"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  <w:t>k</w:t>
                  </w:r>
                  <w:r w:rsidR="00C31DDF" w:rsidRPr="00E20D16"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  <w:t>oşulu</w:t>
                  </w:r>
                  <w:proofErr w:type="gramEnd"/>
                  <w:r w:rsidR="00C31DDF" w:rsidRPr="00E20D16"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  <w:t xml:space="preserve"> dâhili</w:t>
                  </w:r>
                  <w:r w:rsidR="004861B9"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  <w:t>nde olan limitlerin</w:t>
                  </w:r>
                  <w:r w:rsidR="00C31DDF" w:rsidRPr="00E20D16"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  <w:t xml:space="preserve"> ilgili ceza kararlarının ödenmesi durumunda </w:t>
                  </w:r>
                </w:p>
                <w:p w:rsidR="009154C1" w:rsidRDefault="00E20D16" w:rsidP="00E20D16">
                  <w:pPr>
                    <w:pStyle w:val="AralkYok"/>
                    <w:ind w:left="720"/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</w:pPr>
                  <w:proofErr w:type="gramStart"/>
                  <w:r w:rsidRPr="00E20D16"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  <w:t>b</w:t>
                  </w:r>
                  <w:r w:rsidR="00C942DE" w:rsidRPr="00E20D16"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  <w:t>ile</w:t>
                  </w:r>
                  <w:proofErr w:type="gramEnd"/>
                  <w:r w:rsidR="00C31DDF" w:rsidRPr="00E20D16"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  <w:t xml:space="preserve"> kesinleşmiş hüküm ihtiva ettiği için limitlerler </w:t>
                  </w:r>
                  <w:r w:rsidR="00C942DE" w:rsidRPr="00E20D16"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  <w:t>dâhilinde</w:t>
                  </w:r>
                  <w:r w:rsidR="00496649"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  <w:t xml:space="preserve"> sayılmaması</w:t>
                  </w:r>
                  <w:r w:rsidR="00C31DDF" w:rsidRPr="00E20D16"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="00496649"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  <w:t>hususunu bilgilerinize arz ederiz.</w:t>
                  </w:r>
                </w:p>
                <w:p w:rsidR="004861B9" w:rsidRPr="00E20D16" w:rsidRDefault="004861B9" w:rsidP="00E20D16">
                  <w:pPr>
                    <w:pStyle w:val="AralkYok"/>
                    <w:ind w:left="720"/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</w:pPr>
                </w:p>
                <w:p w:rsidR="00C71A87" w:rsidRPr="00E20D16" w:rsidRDefault="004861B9" w:rsidP="00496649">
                  <w:pPr>
                    <w:pStyle w:val="AralkYok"/>
                    <w:numPr>
                      <w:ilvl w:val="0"/>
                      <w:numId w:val="22"/>
                    </w:numPr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  <w:t>G</w:t>
                  </w:r>
                  <w:r w:rsidR="00C942DE" w:rsidRPr="00E20D16"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  <w:t>üvenilirlik</w:t>
                  </w:r>
                  <w:r w:rsidR="00C31DDF" w:rsidRPr="00E20D16"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  <w:t xml:space="preserve"> koşulunda 241/1 nasıl </w:t>
                  </w:r>
                  <w:r w:rsidR="00B3530F" w:rsidRPr="00E20D16"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  <w:t>dâhil</w:t>
                  </w:r>
                  <w:r w:rsidR="00C31DDF" w:rsidRPr="00E20D16"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  <w:t xml:space="preserve"> değil ise 241’in katlarının da </w:t>
                  </w:r>
                  <w:r w:rsidR="00B3530F" w:rsidRPr="00E20D16"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  <w:t>dâhil</w:t>
                  </w:r>
                  <w:r w:rsidR="00C31DDF" w:rsidRPr="00E20D16"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  <w:t xml:space="preserve"> olmamasının sağla</w:t>
                  </w:r>
                  <w:r w:rsidR="00C71A87" w:rsidRPr="00E20D16"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  <w:t xml:space="preserve">nması </w:t>
                  </w:r>
                  <w:r w:rsidR="00496649"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  <w:t>hususunu bilgilerinize arz ederiz.</w:t>
                  </w:r>
                </w:p>
                <w:p w:rsidR="005E1C68" w:rsidRDefault="005E1C68" w:rsidP="00C31DDF">
                  <w:pPr>
                    <w:pStyle w:val="3-NormalYaz"/>
                    <w:tabs>
                      <w:tab w:val="clear" w:pos="566"/>
                    </w:tabs>
                    <w:spacing w:before="120"/>
                    <w:ind w:left="720"/>
                    <w:rPr>
                      <w:rFonts w:asciiTheme="minorHAnsi" w:eastAsiaTheme="minorHAnsi" w:hAnsiTheme="minorHAnsi"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</w:pPr>
                </w:p>
                <w:p w:rsidR="00C71A87" w:rsidRPr="00C71A87" w:rsidRDefault="005E1C68" w:rsidP="00C71A87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</w:pPr>
                  <w:r w:rsidRPr="00C71A87"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  <w:t>İçinde bulunduğumuz malum durumlar içerisi</w:t>
                  </w:r>
                  <w:r w:rsidR="00E8786A" w:rsidRPr="00C71A87"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  <w:t>nde tüm firmalar dezenfektan, maske ve diğer faaliyet dışı ithalat</w:t>
                  </w:r>
                  <w:r w:rsidRPr="00C71A87"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  <w:t xml:space="preserve"> gerçekleştirmek zorunda kaldılar. Gümrük İşlemlerinin Kolaylaştırılması Yönetmeliği’nin 161/B maddesinde yer alan sertifika sahibinin ticaret siciline tescil ettirilmiş şirket ana sözleşmesinde belirtilen esas faaliyet konusu dışına çıkılmıştır. Virüs kapsamında yapılacak ithalatların ilgili madde ihlali olmayacağına dair yazı yayımlanması </w:t>
                  </w:r>
                  <w:r w:rsidR="00DD755A"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  <w:t>gerekliliği</w:t>
                  </w:r>
                  <w:r w:rsidR="00C71A87" w:rsidRPr="00C71A87"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="00DD755A"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  <w:t>hususunu bilgilerinize arz ederiz.</w:t>
                  </w:r>
                </w:p>
                <w:p w:rsidR="003A6486" w:rsidRPr="00A367AE" w:rsidRDefault="003A6486" w:rsidP="003A6486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3A6486" w:rsidRPr="00A367AE" w:rsidTr="00E8786A">
              <w:trPr>
                <w:gridAfter w:val="1"/>
                <w:wAfter w:w="142" w:type="dxa"/>
                <w:trHeight w:val="3963"/>
              </w:trPr>
              <w:tc>
                <w:tcPr>
                  <w:tcW w:w="3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10C9E" w:rsidRDefault="00110C9E" w:rsidP="003A6486">
                  <w:pPr>
                    <w:jc w:val="center"/>
                    <w:rPr>
                      <w:rFonts w:cstheme="minorHAnsi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noProof/>
                      <w:sz w:val="36"/>
                      <w:szCs w:val="36"/>
                      <w:lang w:eastAsia="tr-TR"/>
                    </w:rPr>
                    <w:lastRenderedPageBreak/>
                    <w:drawing>
                      <wp:inline distT="0" distB="0" distL="0" distR="0" wp14:anchorId="3BE1EE0C" wp14:editId="65760844">
                        <wp:extent cx="1371600" cy="1319249"/>
                        <wp:effectExtent l="0" t="0" r="0" b="0"/>
                        <wp:docPr id="12" name="Resim 12" descr="C:\Users\altayy\AppData\Local\Microsoft\Windows\INetCache\Content.Word\YYSD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C:\Users\altayy\AppData\Local\Microsoft\Windows\INetCache\Content.Word\YYSD 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3360" cy="13209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A6486" w:rsidRPr="00A367AE" w:rsidRDefault="00815E0C" w:rsidP="003A6486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815E0C">
                    <w:rPr>
                      <w:rFonts w:cstheme="minorHAnsi"/>
                      <w:b/>
                      <w:bCs/>
                      <w:color w:val="000000"/>
                      <w:sz w:val="28"/>
                      <w:szCs w:val="28"/>
                    </w:rPr>
                    <w:t>Gümrük Kanunu</w:t>
                  </w:r>
                </w:p>
              </w:tc>
              <w:tc>
                <w:tcPr>
                  <w:tcW w:w="1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20D16" w:rsidRDefault="00E20D16" w:rsidP="00E20D16">
                  <w:pPr>
                    <w:spacing w:after="0" w:line="240" w:lineRule="auto"/>
                    <w:ind w:left="720"/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</w:pPr>
                </w:p>
                <w:p w:rsidR="00E20D16" w:rsidRDefault="00E20D16" w:rsidP="00E20D16">
                  <w:pPr>
                    <w:spacing w:after="0" w:line="240" w:lineRule="auto"/>
                    <w:ind w:left="720"/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</w:pPr>
                </w:p>
                <w:p w:rsidR="00E20D16" w:rsidRDefault="004F7BFA" w:rsidP="00E20D16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  <w:t>İçinde bulunduğumuz zor günler içerisinde vergi ödeme yükümlülüğünün ticaret erbabına g</w:t>
                  </w:r>
                  <w:r w:rsidR="00815E0C" w:rsidRPr="00815E0C"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  <w:t>erekli temin</w:t>
                  </w:r>
                  <w:r w:rsidR="00E20D16"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  <w:t>atın alınması kaydı ile gümrük v</w:t>
                  </w:r>
                  <w:r w:rsidR="00815E0C" w:rsidRPr="00815E0C"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  <w:t>ergilerinin 1 ay ötelenmesinin sağlanması</w:t>
                  </w:r>
                  <w:r w:rsidR="00E20D16"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="00DD755A"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  <w:t>hususunu bilgilerinize arz ederiz.</w:t>
                  </w:r>
                </w:p>
                <w:p w:rsidR="00E20D16" w:rsidRPr="006C43FB" w:rsidRDefault="00E20D16" w:rsidP="00E20D16">
                  <w:pPr>
                    <w:spacing w:after="0" w:line="240" w:lineRule="auto"/>
                    <w:ind w:left="720"/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</w:pPr>
                </w:p>
                <w:p w:rsidR="003A6486" w:rsidRPr="00815E0C" w:rsidRDefault="003A6486" w:rsidP="00E20D16">
                  <w:pPr>
                    <w:pStyle w:val="ListeParagraf"/>
                    <w:spacing w:after="240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110C9E" w:rsidRPr="00A367AE" w:rsidTr="00E8786A">
              <w:trPr>
                <w:gridAfter w:val="1"/>
                <w:wAfter w:w="142" w:type="dxa"/>
                <w:trHeight w:val="4530"/>
              </w:trPr>
              <w:tc>
                <w:tcPr>
                  <w:tcW w:w="34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10C9E" w:rsidRDefault="00110C9E" w:rsidP="00110C9E">
                  <w:pPr>
                    <w:pStyle w:val="ListeParagraf"/>
                    <w:rPr>
                      <w:rFonts w:cstheme="minorHAnsi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noProof/>
                      <w:sz w:val="36"/>
                      <w:szCs w:val="36"/>
                      <w:lang w:eastAsia="tr-TR"/>
                    </w:rPr>
                    <w:drawing>
                      <wp:inline distT="0" distB="0" distL="0" distR="0" wp14:anchorId="6ADF9CFD" wp14:editId="1F968029">
                        <wp:extent cx="1371600" cy="1319249"/>
                        <wp:effectExtent l="0" t="0" r="0" b="0"/>
                        <wp:docPr id="16" name="Resim 16" descr="C:\Users\altayy\AppData\Local\Microsoft\Windows\INetCache\Content.Word\YYSD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C:\Users\altayy\AppData\Local\Microsoft\Windows\INetCache\Content.Word\YYSD 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3360" cy="13209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10C9E" w:rsidRDefault="00110C9E" w:rsidP="00110C9E">
                  <w:pPr>
                    <w:pStyle w:val="ListeParagraf"/>
                    <w:rPr>
                      <w:rFonts w:cstheme="minorHAnsi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bCs/>
                      <w:color w:val="000000"/>
                      <w:sz w:val="28"/>
                      <w:szCs w:val="28"/>
                    </w:rPr>
                    <w:t xml:space="preserve">   </w:t>
                  </w:r>
                </w:p>
                <w:p w:rsidR="00110C9E" w:rsidRPr="00110C9E" w:rsidRDefault="00110C9E" w:rsidP="00110C9E">
                  <w:pPr>
                    <w:pStyle w:val="ListeParagraf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cstheme="minorHAnsi"/>
                      <w:b/>
                      <w:bCs/>
                      <w:color w:val="000000"/>
                      <w:sz w:val="28"/>
                      <w:szCs w:val="28"/>
                    </w:rPr>
                    <w:t xml:space="preserve">    </w:t>
                  </w:r>
                  <w:r w:rsidRPr="00110C9E">
                    <w:rPr>
                      <w:rFonts w:cstheme="minorHAnsi"/>
                      <w:b/>
                      <w:bCs/>
                      <w:color w:val="000000"/>
                      <w:sz w:val="28"/>
                      <w:szCs w:val="28"/>
                    </w:rPr>
                    <w:t>İzinli Gönderici</w:t>
                  </w:r>
                </w:p>
              </w:tc>
              <w:tc>
                <w:tcPr>
                  <w:tcW w:w="113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10C9E" w:rsidRPr="00110C9E" w:rsidRDefault="00110C9E" w:rsidP="00110C9E">
                  <w:pPr>
                    <w:pStyle w:val="ListeParagraf"/>
                    <w:numPr>
                      <w:ilvl w:val="0"/>
                      <w:numId w:val="19"/>
                    </w:numPr>
                    <w:autoSpaceDE w:val="0"/>
                    <w:autoSpaceDN w:val="0"/>
                    <w:adjustRightInd w:val="0"/>
                    <w:spacing w:before="240" w:after="0" w:line="240" w:lineRule="auto"/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</w:pPr>
                  <w:r w:rsidRPr="00110C9E"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  <w:t>Sınır kapılarından öncelikli geçiş hakkının yaygınlaştırılması,</w:t>
                  </w:r>
                </w:p>
                <w:p w:rsidR="00110C9E" w:rsidRPr="00E8786A" w:rsidRDefault="00110C9E" w:rsidP="001B3036">
                  <w:pPr>
                    <w:pStyle w:val="ListeParagraf"/>
                    <w:autoSpaceDE w:val="0"/>
                    <w:autoSpaceDN w:val="0"/>
                    <w:adjustRightInd w:val="0"/>
                    <w:spacing w:before="240" w:after="0" w:line="240" w:lineRule="auto"/>
                    <w:ind w:left="2160"/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</w:pPr>
                </w:p>
                <w:p w:rsidR="00110C9E" w:rsidRPr="00110C9E" w:rsidRDefault="00110C9E" w:rsidP="00110C9E">
                  <w:pPr>
                    <w:pStyle w:val="ListeParagraf"/>
                    <w:numPr>
                      <w:ilvl w:val="0"/>
                      <w:numId w:val="19"/>
                    </w:numPr>
                    <w:autoSpaceDE w:val="0"/>
                    <w:autoSpaceDN w:val="0"/>
                    <w:adjustRightInd w:val="0"/>
                    <w:spacing w:before="240" w:after="0" w:line="240" w:lineRule="auto"/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</w:pPr>
                  <w:r w:rsidRPr="00110C9E"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  <w:t xml:space="preserve">Yetki iznini </w:t>
                  </w:r>
                  <w:proofErr w:type="spellStart"/>
                  <w:r w:rsidRPr="00110C9E"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  <w:t>parsiyel</w:t>
                  </w:r>
                  <w:proofErr w:type="spellEnd"/>
                  <w:r w:rsidRPr="00110C9E"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  <w:t xml:space="preserve"> ve sevkli araçlarda kullanma izni,</w:t>
                  </w:r>
                </w:p>
                <w:p w:rsidR="00110C9E" w:rsidRPr="00E8786A" w:rsidRDefault="00110C9E" w:rsidP="001B3036">
                  <w:pPr>
                    <w:pStyle w:val="ListeParagraf"/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</w:pPr>
                </w:p>
                <w:p w:rsidR="00110C9E" w:rsidRPr="00110C9E" w:rsidRDefault="00110C9E" w:rsidP="00110C9E">
                  <w:pPr>
                    <w:pStyle w:val="ListeParagraf"/>
                    <w:numPr>
                      <w:ilvl w:val="0"/>
                      <w:numId w:val="19"/>
                    </w:numPr>
                    <w:autoSpaceDE w:val="0"/>
                    <w:autoSpaceDN w:val="0"/>
                    <w:adjustRightInd w:val="0"/>
                    <w:spacing w:before="240" w:after="0" w:line="240" w:lineRule="auto"/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</w:pPr>
                  <w:r w:rsidRPr="00110C9E"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  <w:t xml:space="preserve">Yük iptalleri olduğunda ambar kodunun değiştirilmesi için kolaylıkla zaman kaybetmeden </w:t>
                  </w:r>
                  <w:proofErr w:type="spellStart"/>
                  <w:r w:rsidRPr="00110C9E"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  <w:t>redrese</w:t>
                  </w:r>
                  <w:proofErr w:type="spellEnd"/>
                  <w:r w:rsidRPr="00110C9E"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  <w:t xml:space="preserve"> yapabilme imkânın sağlanması,</w:t>
                  </w:r>
                </w:p>
                <w:p w:rsidR="00110C9E" w:rsidRPr="00E8786A" w:rsidRDefault="00110C9E" w:rsidP="001B3036">
                  <w:pPr>
                    <w:pStyle w:val="ListeParagraf"/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</w:pPr>
                </w:p>
                <w:p w:rsidR="00A77D30" w:rsidRDefault="00110C9E" w:rsidP="00DD755A">
                  <w:pPr>
                    <w:pStyle w:val="ListeParagraf"/>
                    <w:numPr>
                      <w:ilvl w:val="0"/>
                      <w:numId w:val="19"/>
                    </w:numPr>
                    <w:autoSpaceDE w:val="0"/>
                    <w:autoSpaceDN w:val="0"/>
                    <w:adjustRightInd w:val="0"/>
                    <w:spacing w:before="240" w:after="0" w:line="240" w:lineRule="auto"/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</w:pPr>
                  <w:r w:rsidRPr="00110C9E"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  <w:t xml:space="preserve">Kiralık araçlarda sorumluluğun sınır kapısına kadar belge sahibinde olması konusunda çalışmalar </w:t>
                  </w:r>
                  <w:r w:rsidR="00DD755A" w:rsidRPr="00110C9E"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  <w:t>yapılması,</w:t>
                  </w:r>
                </w:p>
                <w:p w:rsidR="00A77D30" w:rsidRPr="00A77D30" w:rsidRDefault="00A77D30" w:rsidP="00A77D30">
                  <w:pPr>
                    <w:pStyle w:val="ListeParagraf"/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</w:pPr>
                </w:p>
                <w:p w:rsidR="00110C9E" w:rsidRPr="00DD755A" w:rsidRDefault="00DD755A" w:rsidP="00A77D30">
                  <w:pPr>
                    <w:pStyle w:val="ListeParagraf"/>
                    <w:autoSpaceDE w:val="0"/>
                    <w:autoSpaceDN w:val="0"/>
                    <w:adjustRightInd w:val="0"/>
                    <w:spacing w:before="240" w:after="0" w:line="240" w:lineRule="auto"/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</w:pPr>
                  <w:bookmarkStart w:id="0" w:name="_GoBack"/>
                  <w:bookmarkEnd w:id="0"/>
                  <w:r w:rsidRPr="00DD755A"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  <w:t xml:space="preserve"> hususlarını</w:t>
                  </w:r>
                  <w:r w:rsidRPr="00DD755A">
                    <w:rPr>
                      <w:rFonts w:cstheme="minorHAnsi"/>
                      <w:color w:val="212529"/>
                      <w:sz w:val="28"/>
                      <w:szCs w:val="28"/>
                      <w:shd w:val="clear" w:color="auto" w:fill="FFFFFF"/>
                    </w:rPr>
                    <w:t xml:space="preserve"> bilgilerinize arz ederiz.</w:t>
                  </w:r>
                </w:p>
              </w:tc>
            </w:tr>
          </w:tbl>
          <w:p w:rsidR="005978D8" w:rsidRDefault="005978D8" w:rsidP="003A6486"/>
        </w:tc>
      </w:tr>
    </w:tbl>
    <w:p w:rsidR="008E5126" w:rsidRPr="008E5126" w:rsidRDefault="008E5126" w:rsidP="008E5126">
      <w:pPr>
        <w:rPr>
          <w:b/>
        </w:rPr>
      </w:pPr>
    </w:p>
    <w:sectPr w:rsidR="008E5126" w:rsidRPr="008E5126" w:rsidSect="002A7F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AFD" w:rsidRDefault="008F6AFD" w:rsidP="00F6237B">
      <w:pPr>
        <w:spacing w:after="0" w:line="240" w:lineRule="auto"/>
      </w:pPr>
      <w:r>
        <w:separator/>
      </w:r>
    </w:p>
  </w:endnote>
  <w:endnote w:type="continuationSeparator" w:id="0">
    <w:p w:rsidR="008F6AFD" w:rsidRDefault="008F6AFD" w:rsidP="00F62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ヒラギノ明朝 Pro W3">
    <w:altName w:val="MS Gothic"/>
    <w:charset w:val="80"/>
    <w:family w:val="auto"/>
    <w:pitch w:val="variable"/>
    <w:sig w:usb0="00000000" w:usb1="08070000" w:usb2="01000417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AFD" w:rsidRDefault="008F6AFD" w:rsidP="00F6237B">
      <w:pPr>
        <w:spacing w:after="0" w:line="240" w:lineRule="auto"/>
      </w:pPr>
      <w:r>
        <w:separator/>
      </w:r>
    </w:p>
  </w:footnote>
  <w:footnote w:type="continuationSeparator" w:id="0">
    <w:p w:rsidR="008F6AFD" w:rsidRDefault="008F6AFD" w:rsidP="00F62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0F34"/>
    <w:multiLevelType w:val="hybridMultilevel"/>
    <w:tmpl w:val="E48C873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679EF"/>
    <w:multiLevelType w:val="hybridMultilevel"/>
    <w:tmpl w:val="43B60876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7D3134"/>
    <w:multiLevelType w:val="hybridMultilevel"/>
    <w:tmpl w:val="B420C30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B58BD"/>
    <w:multiLevelType w:val="hybridMultilevel"/>
    <w:tmpl w:val="07AA540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A4E33"/>
    <w:multiLevelType w:val="hybridMultilevel"/>
    <w:tmpl w:val="7854979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AF4C87"/>
    <w:multiLevelType w:val="hybridMultilevel"/>
    <w:tmpl w:val="195C4C18"/>
    <w:lvl w:ilvl="0" w:tplc="88C0B53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AD68E3"/>
    <w:multiLevelType w:val="hybridMultilevel"/>
    <w:tmpl w:val="4B706E6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9F38A5"/>
    <w:multiLevelType w:val="hybridMultilevel"/>
    <w:tmpl w:val="7D988E7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760AC3"/>
    <w:multiLevelType w:val="hybridMultilevel"/>
    <w:tmpl w:val="0126586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FE255B"/>
    <w:multiLevelType w:val="hybridMultilevel"/>
    <w:tmpl w:val="7C3207F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8C690E"/>
    <w:multiLevelType w:val="hybridMultilevel"/>
    <w:tmpl w:val="1E5E52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2579EE"/>
    <w:multiLevelType w:val="hybridMultilevel"/>
    <w:tmpl w:val="D1CE7BF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1E42B0"/>
    <w:multiLevelType w:val="hybridMultilevel"/>
    <w:tmpl w:val="493263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FC18FA"/>
    <w:multiLevelType w:val="hybridMultilevel"/>
    <w:tmpl w:val="4628F410"/>
    <w:lvl w:ilvl="0" w:tplc="A49449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4966FA"/>
    <w:multiLevelType w:val="hybridMultilevel"/>
    <w:tmpl w:val="BEA2FB6C"/>
    <w:lvl w:ilvl="0" w:tplc="041F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E641D8A"/>
    <w:multiLevelType w:val="hybridMultilevel"/>
    <w:tmpl w:val="D214EBC8"/>
    <w:lvl w:ilvl="0" w:tplc="041F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DCB103B"/>
    <w:multiLevelType w:val="hybridMultilevel"/>
    <w:tmpl w:val="ACBA08A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7001F8"/>
    <w:multiLevelType w:val="hybridMultilevel"/>
    <w:tmpl w:val="8AA67A4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0F5F30"/>
    <w:multiLevelType w:val="hybridMultilevel"/>
    <w:tmpl w:val="13AE5B0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430F8F"/>
    <w:multiLevelType w:val="hybridMultilevel"/>
    <w:tmpl w:val="46ACB956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A05545C"/>
    <w:multiLevelType w:val="hybridMultilevel"/>
    <w:tmpl w:val="6420881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4C1D50"/>
    <w:multiLevelType w:val="hybridMultilevel"/>
    <w:tmpl w:val="776ABCC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401F10"/>
    <w:multiLevelType w:val="hybridMultilevel"/>
    <w:tmpl w:val="A6DA8E2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6"/>
  </w:num>
  <w:num w:numId="4">
    <w:abstractNumId w:val="10"/>
  </w:num>
  <w:num w:numId="5">
    <w:abstractNumId w:val="21"/>
  </w:num>
  <w:num w:numId="6">
    <w:abstractNumId w:val="12"/>
  </w:num>
  <w:num w:numId="7">
    <w:abstractNumId w:val="3"/>
  </w:num>
  <w:num w:numId="8">
    <w:abstractNumId w:val="8"/>
  </w:num>
  <w:num w:numId="9">
    <w:abstractNumId w:val="17"/>
  </w:num>
  <w:num w:numId="10">
    <w:abstractNumId w:val="2"/>
  </w:num>
  <w:num w:numId="11">
    <w:abstractNumId w:val="15"/>
  </w:num>
  <w:num w:numId="12">
    <w:abstractNumId w:val="0"/>
  </w:num>
  <w:num w:numId="13">
    <w:abstractNumId w:val="9"/>
  </w:num>
  <w:num w:numId="14">
    <w:abstractNumId w:val="20"/>
  </w:num>
  <w:num w:numId="15">
    <w:abstractNumId w:val="1"/>
  </w:num>
  <w:num w:numId="16">
    <w:abstractNumId w:val="7"/>
  </w:num>
  <w:num w:numId="17">
    <w:abstractNumId w:val="6"/>
  </w:num>
  <w:num w:numId="18">
    <w:abstractNumId w:val="14"/>
  </w:num>
  <w:num w:numId="19">
    <w:abstractNumId w:val="11"/>
  </w:num>
  <w:num w:numId="20">
    <w:abstractNumId w:val="4"/>
  </w:num>
  <w:num w:numId="21">
    <w:abstractNumId w:val="19"/>
  </w:num>
  <w:num w:numId="22">
    <w:abstractNumId w:val="2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126"/>
    <w:rsid w:val="00060184"/>
    <w:rsid w:val="000909B4"/>
    <w:rsid w:val="00096FD3"/>
    <w:rsid w:val="000C487D"/>
    <w:rsid w:val="00110C9E"/>
    <w:rsid w:val="0016437B"/>
    <w:rsid w:val="00194DB2"/>
    <w:rsid w:val="001A2044"/>
    <w:rsid w:val="00214C99"/>
    <w:rsid w:val="00231B28"/>
    <w:rsid w:val="002661E6"/>
    <w:rsid w:val="00274406"/>
    <w:rsid w:val="002812D1"/>
    <w:rsid w:val="00285F68"/>
    <w:rsid w:val="002A7F9B"/>
    <w:rsid w:val="002B4494"/>
    <w:rsid w:val="002C4341"/>
    <w:rsid w:val="002E5031"/>
    <w:rsid w:val="002E512F"/>
    <w:rsid w:val="00375014"/>
    <w:rsid w:val="00385CB7"/>
    <w:rsid w:val="00393B63"/>
    <w:rsid w:val="003A6486"/>
    <w:rsid w:val="003D7C46"/>
    <w:rsid w:val="003F5B88"/>
    <w:rsid w:val="00457B27"/>
    <w:rsid w:val="004861B9"/>
    <w:rsid w:val="00494280"/>
    <w:rsid w:val="00496649"/>
    <w:rsid w:val="004A310A"/>
    <w:rsid w:val="004C412E"/>
    <w:rsid w:val="004E6AA4"/>
    <w:rsid w:val="004E7E79"/>
    <w:rsid w:val="004F7BFA"/>
    <w:rsid w:val="00502770"/>
    <w:rsid w:val="00516A8A"/>
    <w:rsid w:val="00521D6D"/>
    <w:rsid w:val="00553F81"/>
    <w:rsid w:val="005669A9"/>
    <w:rsid w:val="005939C7"/>
    <w:rsid w:val="005978D8"/>
    <w:rsid w:val="005D1777"/>
    <w:rsid w:val="005E1C68"/>
    <w:rsid w:val="00601694"/>
    <w:rsid w:val="00641260"/>
    <w:rsid w:val="00641B83"/>
    <w:rsid w:val="00647C14"/>
    <w:rsid w:val="0066381A"/>
    <w:rsid w:val="006C1E70"/>
    <w:rsid w:val="006C43FB"/>
    <w:rsid w:val="00766D2C"/>
    <w:rsid w:val="007A49E8"/>
    <w:rsid w:val="00815E0C"/>
    <w:rsid w:val="00855D1F"/>
    <w:rsid w:val="008A5FC6"/>
    <w:rsid w:val="008B1B70"/>
    <w:rsid w:val="008D5AAC"/>
    <w:rsid w:val="008E209A"/>
    <w:rsid w:val="008E5126"/>
    <w:rsid w:val="008F6AFD"/>
    <w:rsid w:val="009154C1"/>
    <w:rsid w:val="009552E3"/>
    <w:rsid w:val="00977365"/>
    <w:rsid w:val="00987F2B"/>
    <w:rsid w:val="009A405B"/>
    <w:rsid w:val="009A7C9B"/>
    <w:rsid w:val="00A36E41"/>
    <w:rsid w:val="00A52BA2"/>
    <w:rsid w:val="00A77D30"/>
    <w:rsid w:val="00A97F31"/>
    <w:rsid w:val="00B123CF"/>
    <w:rsid w:val="00B22F07"/>
    <w:rsid w:val="00B3530F"/>
    <w:rsid w:val="00B707A7"/>
    <w:rsid w:val="00C11957"/>
    <w:rsid w:val="00C11962"/>
    <w:rsid w:val="00C31DDF"/>
    <w:rsid w:val="00C3421D"/>
    <w:rsid w:val="00C71A87"/>
    <w:rsid w:val="00C90B07"/>
    <w:rsid w:val="00C942DE"/>
    <w:rsid w:val="00CD2127"/>
    <w:rsid w:val="00CE6430"/>
    <w:rsid w:val="00D02F83"/>
    <w:rsid w:val="00DD496E"/>
    <w:rsid w:val="00DD755A"/>
    <w:rsid w:val="00DE5F60"/>
    <w:rsid w:val="00E20D16"/>
    <w:rsid w:val="00E8786A"/>
    <w:rsid w:val="00E97E55"/>
    <w:rsid w:val="00ED35A1"/>
    <w:rsid w:val="00EF17B8"/>
    <w:rsid w:val="00EF2713"/>
    <w:rsid w:val="00F03C22"/>
    <w:rsid w:val="00F0457D"/>
    <w:rsid w:val="00F2418E"/>
    <w:rsid w:val="00F6237B"/>
    <w:rsid w:val="00FD34E0"/>
    <w:rsid w:val="00FF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E5126"/>
    <w:rPr>
      <w:color w:val="808080"/>
    </w:rPr>
  </w:style>
  <w:style w:type="table" w:styleId="TabloKlavuzu">
    <w:name w:val="Table Grid"/>
    <w:basedOn w:val="NormalTablo"/>
    <w:uiPriority w:val="39"/>
    <w:rsid w:val="008E5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alTablo"/>
    <w:uiPriority w:val="40"/>
    <w:rsid w:val="008E512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3">
    <w:name w:val="Plain Table 3"/>
    <w:basedOn w:val="NormalTablo"/>
    <w:uiPriority w:val="43"/>
    <w:rsid w:val="008E512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">
    <w:name w:val="Plain Table 5"/>
    <w:basedOn w:val="NormalTablo"/>
    <w:uiPriority w:val="45"/>
    <w:rsid w:val="008E512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NormalTablo"/>
    <w:uiPriority w:val="46"/>
    <w:rsid w:val="008E512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NormalTablo"/>
    <w:uiPriority w:val="46"/>
    <w:rsid w:val="008E512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eParagraf">
    <w:name w:val="List Paragraph"/>
    <w:basedOn w:val="Normal"/>
    <w:uiPriority w:val="34"/>
    <w:qFormat/>
    <w:rsid w:val="008E512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11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195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62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6237B"/>
  </w:style>
  <w:style w:type="paragraph" w:styleId="Altbilgi">
    <w:name w:val="footer"/>
    <w:basedOn w:val="Normal"/>
    <w:link w:val="AltbilgiChar"/>
    <w:uiPriority w:val="99"/>
    <w:unhideWhenUsed/>
    <w:rsid w:val="00F62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6237B"/>
  </w:style>
  <w:style w:type="paragraph" w:customStyle="1" w:styleId="3-NormalYaz">
    <w:name w:val="3-Normal Yazı"/>
    <w:rsid w:val="00C31DDF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character" w:styleId="Kpr">
    <w:name w:val="Hyperlink"/>
    <w:basedOn w:val="VarsaylanParagrafYazTipi"/>
    <w:uiPriority w:val="99"/>
    <w:semiHidden/>
    <w:unhideWhenUsed/>
    <w:rsid w:val="00ED35A1"/>
    <w:rPr>
      <w:color w:val="0000FF"/>
      <w:u w:val="single"/>
    </w:rPr>
  </w:style>
  <w:style w:type="paragraph" w:customStyle="1" w:styleId="Metin">
    <w:name w:val="Metin"/>
    <w:rsid w:val="005E1C68"/>
    <w:pPr>
      <w:tabs>
        <w:tab w:val="left" w:pos="566"/>
      </w:tabs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sz w:val="19"/>
      <w:szCs w:val="20"/>
      <w:lang w:eastAsia="tr-TR"/>
    </w:rPr>
  </w:style>
  <w:style w:type="paragraph" w:styleId="AralkYok">
    <w:name w:val="No Spacing"/>
    <w:uiPriority w:val="1"/>
    <w:qFormat/>
    <w:rsid w:val="00E20D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E5126"/>
    <w:rPr>
      <w:color w:val="808080"/>
    </w:rPr>
  </w:style>
  <w:style w:type="table" w:styleId="TabloKlavuzu">
    <w:name w:val="Table Grid"/>
    <w:basedOn w:val="NormalTablo"/>
    <w:uiPriority w:val="39"/>
    <w:rsid w:val="008E5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alTablo"/>
    <w:uiPriority w:val="40"/>
    <w:rsid w:val="008E512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3">
    <w:name w:val="Plain Table 3"/>
    <w:basedOn w:val="NormalTablo"/>
    <w:uiPriority w:val="43"/>
    <w:rsid w:val="008E512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">
    <w:name w:val="Plain Table 5"/>
    <w:basedOn w:val="NormalTablo"/>
    <w:uiPriority w:val="45"/>
    <w:rsid w:val="008E512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NormalTablo"/>
    <w:uiPriority w:val="46"/>
    <w:rsid w:val="008E512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NormalTablo"/>
    <w:uiPriority w:val="46"/>
    <w:rsid w:val="008E512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eParagraf">
    <w:name w:val="List Paragraph"/>
    <w:basedOn w:val="Normal"/>
    <w:uiPriority w:val="34"/>
    <w:qFormat/>
    <w:rsid w:val="008E512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11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195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62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6237B"/>
  </w:style>
  <w:style w:type="paragraph" w:styleId="Altbilgi">
    <w:name w:val="footer"/>
    <w:basedOn w:val="Normal"/>
    <w:link w:val="AltbilgiChar"/>
    <w:uiPriority w:val="99"/>
    <w:unhideWhenUsed/>
    <w:rsid w:val="00F62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6237B"/>
  </w:style>
  <w:style w:type="paragraph" w:customStyle="1" w:styleId="3-NormalYaz">
    <w:name w:val="3-Normal Yazı"/>
    <w:rsid w:val="00C31DDF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character" w:styleId="Kpr">
    <w:name w:val="Hyperlink"/>
    <w:basedOn w:val="VarsaylanParagrafYazTipi"/>
    <w:uiPriority w:val="99"/>
    <w:semiHidden/>
    <w:unhideWhenUsed/>
    <w:rsid w:val="00ED35A1"/>
    <w:rPr>
      <w:color w:val="0000FF"/>
      <w:u w:val="single"/>
    </w:rPr>
  </w:style>
  <w:style w:type="paragraph" w:customStyle="1" w:styleId="Metin">
    <w:name w:val="Metin"/>
    <w:rsid w:val="005E1C68"/>
    <w:pPr>
      <w:tabs>
        <w:tab w:val="left" w:pos="566"/>
      </w:tabs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sz w:val="19"/>
      <w:szCs w:val="20"/>
      <w:lang w:eastAsia="tr-TR"/>
    </w:rPr>
  </w:style>
  <w:style w:type="paragraph" w:styleId="AralkYok">
    <w:name w:val="No Spacing"/>
    <w:uiPriority w:val="1"/>
    <w:qFormat/>
    <w:rsid w:val="00E20D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2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ABC53-B795-48A6-AFE7-2AADE0174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Kadir Savaş Çiftçi</dc:creator>
  <cp:keywords/>
  <dc:description/>
  <cp:lastModifiedBy>Altay YEGİN</cp:lastModifiedBy>
  <cp:revision>90</cp:revision>
  <dcterms:created xsi:type="dcterms:W3CDTF">2020-02-19T08:00:00Z</dcterms:created>
  <dcterms:modified xsi:type="dcterms:W3CDTF">2020-04-20T14:48:00Z</dcterms:modified>
</cp:coreProperties>
</file>